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70CB" w14:textId="77777777" w:rsidR="00411660" w:rsidRDefault="00000000">
      <w:pPr>
        <w:spacing w:before="200" w:line="240" w:lineRule="auto"/>
        <w:rPr>
          <w:rFonts w:ascii="Sora" w:eastAsia="Sora" w:hAnsi="Sora" w:cs="Sora"/>
          <w:color w:val="297FD5"/>
          <w:sz w:val="54"/>
          <w:szCs w:val="54"/>
        </w:rPr>
      </w:pPr>
      <w:r>
        <w:rPr>
          <w:rFonts w:ascii="Sora" w:eastAsia="Sora" w:hAnsi="Sora" w:cs="Sora"/>
          <w:color w:val="297FD5"/>
          <w:sz w:val="54"/>
          <w:szCs w:val="54"/>
        </w:rPr>
        <w:t>Learning to Tango Email Template</w:t>
      </w:r>
    </w:p>
    <w:p w14:paraId="6FDFE686" w14:textId="77777777" w:rsidR="00411660" w:rsidRDefault="00000000">
      <w:pPr>
        <w:spacing w:line="240" w:lineRule="auto"/>
        <w:rPr>
          <w:rFonts w:ascii="Sora" w:eastAsia="Sora" w:hAnsi="Sora" w:cs="Sora"/>
          <w:b/>
          <w:color w:val="1A1A1A"/>
          <w:sz w:val="30"/>
          <w:szCs w:val="30"/>
        </w:rPr>
      </w:pPr>
      <w:r>
        <w:rPr>
          <w:rFonts w:ascii="Sora" w:eastAsia="Sora" w:hAnsi="Sora" w:cs="Sora"/>
          <w:sz w:val="24"/>
          <w:szCs w:val="24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A7077BC" wp14:editId="27AE4423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97442" cy="9630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1567" y="3746134"/>
                          <a:ext cx="668867" cy="67733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537556" w14:textId="77777777" w:rsidR="00411660" w:rsidRDefault="004116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97442" cy="9630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442" cy="963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9B8728" w14:textId="77777777" w:rsidR="00411660" w:rsidRDefault="0041166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</w:p>
    <w:p w14:paraId="189CF9B4" w14:textId="77777777" w:rsidR="00411660" w:rsidRDefault="0000000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  <w:r>
        <w:rPr>
          <w:rFonts w:ascii="Sora" w:eastAsia="Sora" w:hAnsi="Sora" w:cs="Sora"/>
          <w:color w:val="1A1A1A"/>
          <w:sz w:val="20"/>
          <w:szCs w:val="20"/>
        </w:rPr>
        <w:t>Send to: New / Existing People Leaders</w:t>
      </w:r>
    </w:p>
    <w:p w14:paraId="59241EB8" w14:textId="77777777" w:rsidR="00411660" w:rsidRDefault="0000000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  <w:r>
        <w:rPr>
          <w:rFonts w:ascii="Sora" w:eastAsia="Sora" w:hAnsi="Sora" w:cs="Sora"/>
          <w:color w:val="1A1A1A"/>
          <w:sz w:val="20"/>
          <w:szCs w:val="20"/>
        </w:rPr>
        <w:t>Sent from: HR Admin</w:t>
      </w:r>
    </w:p>
    <w:p w14:paraId="59BB58C0" w14:textId="77777777" w:rsidR="00411660" w:rsidRDefault="0000000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  <w:r>
        <w:rPr>
          <w:rFonts w:ascii="Sora" w:eastAsia="Sora" w:hAnsi="Sora" w:cs="Sora"/>
          <w:color w:val="1A1A1A"/>
          <w:sz w:val="20"/>
          <w:szCs w:val="20"/>
        </w:rPr>
        <w:t>Date to send: After the users have been invited to the platform</w:t>
      </w:r>
    </w:p>
    <w:p w14:paraId="0348AAC6" w14:textId="77777777" w:rsidR="00411660" w:rsidRDefault="0000000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  <w:r>
        <w:rPr>
          <w:rFonts w:ascii="Sora" w:eastAsia="Sora" w:hAnsi="Sora" w:cs="Sora"/>
          <w:color w:val="1A1A1A"/>
          <w:sz w:val="20"/>
          <w:szCs w:val="20"/>
        </w:rPr>
        <w:t>Subject: Learning to Tango: Surveys &amp; Insights Training</w:t>
      </w:r>
    </w:p>
    <w:p w14:paraId="15CC2C6C" w14:textId="77777777" w:rsidR="00411660" w:rsidRDefault="00411660">
      <w:pPr>
        <w:shd w:val="clear" w:color="auto" w:fill="FFFFFF"/>
        <w:rPr>
          <w:rFonts w:ascii="Sora" w:eastAsia="Sora" w:hAnsi="Sora" w:cs="Sora"/>
          <w:color w:val="1A1A1A"/>
          <w:sz w:val="20"/>
          <w:szCs w:val="20"/>
        </w:rPr>
      </w:pPr>
    </w:p>
    <w:p w14:paraId="54D0F172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>Hi team,</w:t>
      </w:r>
    </w:p>
    <w:p w14:paraId="6ECB7475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 xml:space="preserve"> </w:t>
      </w:r>
    </w:p>
    <w:p w14:paraId="0E3FA8BD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 xml:space="preserve">I’m excited to introduce an education series for our Survey &amp; Insights partner, </w:t>
      </w:r>
      <w:proofErr w:type="spellStart"/>
      <w:r>
        <w:rPr>
          <w:rFonts w:ascii="Sora" w:eastAsia="Sora" w:hAnsi="Sora" w:cs="Sora"/>
          <w:sz w:val="20"/>
          <w:szCs w:val="20"/>
          <w:highlight w:val="white"/>
        </w:rPr>
        <w:t>WorkTango</w:t>
      </w:r>
      <w:proofErr w:type="spellEnd"/>
      <w:r>
        <w:rPr>
          <w:rFonts w:ascii="Sora" w:eastAsia="Sora" w:hAnsi="Sora" w:cs="Sora"/>
          <w:sz w:val="20"/>
          <w:szCs w:val="20"/>
          <w:highlight w:val="white"/>
        </w:rPr>
        <w:t xml:space="preserve">. </w:t>
      </w:r>
    </w:p>
    <w:p w14:paraId="3B391448" w14:textId="77777777" w:rsidR="00411660" w:rsidRDefault="00411660">
      <w:pPr>
        <w:rPr>
          <w:rFonts w:ascii="Sora" w:eastAsia="Sora" w:hAnsi="Sora" w:cs="Sora"/>
          <w:sz w:val="20"/>
          <w:szCs w:val="20"/>
          <w:highlight w:val="white"/>
        </w:rPr>
      </w:pPr>
    </w:p>
    <w:p w14:paraId="17CBDBC9" w14:textId="77777777" w:rsidR="00411660" w:rsidRDefault="00000000">
      <w:pPr>
        <w:spacing w:line="240" w:lineRule="auto"/>
        <w:rPr>
          <w:rFonts w:ascii="Sora" w:eastAsia="Sora" w:hAnsi="Sora" w:cs="Sora"/>
          <w:sz w:val="20"/>
          <w:szCs w:val="20"/>
        </w:rPr>
      </w:pPr>
      <w:r>
        <w:rPr>
          <w:rFonts w:ascii="Sora" w:eastAsia="Sora" w:hAnsi="Sora" w:cs="Sora"/>
          <w:sz w:val="20"/>
          <w:szCs w:val="20"/>
        </w:rPr>
        <w:t xml:space="preserve">Learning to Tango is a self-guided resource that teaches you the ins and outs of the </w:t>
      </w:r>
      <w:proofErr w:type="spellStart"/>
      <w:r>
        <w:rPr>
          <w:rFonts w:ascii="Sora" w:eastAsia="Sora" w:hAnsi="Sora" w:cs="Sora"/>
          <w:sz w:val="20"/>
          <w:szCs w:val="20"/>
        </w:rPr>
        <w:t>WorkTango</w:t>
      </w:r>
      <w:proofErr w:type="spellEnd"/>
      <w:r>
        <w:rPr>
          <w:rFonts w:ascii="Sora" w:eastAsia="Sora" w:hAnsi="Sora" w:cs="Sora"/>
          <w:sz w:val="20"/>
          <w:szCs w:val="20"/>
        </w:rPr>
        <w:t xml:space="preserve"> solution. Through engaging short videos, and practical </w:t>
      </w:r>
      <w:proofErr w:type="gramStart"/>
      <w:r>
        <w:rPr>
          <w:rFonts w:ascii="Sora" w:eastAsia="Sora" w:hAnsi="Sora" w:cs="Sora"/>
          <w:sz w:val="20"/>
          <w:szCs w:val="20"/>
        </w:rPr>
        <w:t>exercises  tasks</w:t>
      </w:r>
      <w:proofErr w:type="gramEnd"/>
      <w:r>
        <w:rPr>
          <w:rFonts w:ascii="Sora" w:eastAsia="Sora" w:hAnsi="Sora" w:cs="Sora"/>
          <w:sz w:val="20"/>
          <w:szCs w:val="20"/>
        </w:rPr>
        <w:t xml:space="preserve">, you’ll understand how to best interpret your survey results in less than an hour. </w:t>
      </w:r>
    </w:p>
    <w:p w14:paraId="02BB6865" w14:textId="77777777" w:rsidR="00411660" w:rsidRDefault="00411660">
      <w:pPr>
        <w:spacing w:line="240" w:lineRule="auto"/>
        <w:rPr>
          <w:rFonts w:ascii="Sora" w:eastAsia="Sora" w:hAnsi="Sora" w:cs="Sora"/>
          <w:sz w:val="20"/>
          <w:szCs w:val="20"/>
        </w:rPr>
      </w:pPr>
    </w:p>
    <w:p w14:paraId="3F2B294A" w14:textId="02B8689E" w:rsidR="00171760" w:rsidRDefault="00171760" w:rsidP="00171760">
      <w:pPr>
        <w:spacing w:line="240" w:lineRule="auto"/>
        <w:rPr>
          <w:rFonts w:ascii="Sora" w:eastAsia="Sora" w:hAnsi="Sora" w:cs="Sora"/>
          <w:sz w:val="20"/>
          <w:szCs w:val="20"/>
        </w:rPr>
      </w:pPr>
      <w:r>
        <w:rPr>
          <w:rFonts w:ascii="Sora" w:eastAsia="Sora" w:hAnsi="Sora" w:cs="Sora"/>
          <w:sz w:val="20"/>
          <w:szCs w:val="20"/>
        </w:rPr>
        <w:t>To get started, s</w:t>
      </w:r>
      <w:r w:rsidR="00000000">
        <w:rPr>
          <w:rFonts w:ascii="Sora" w:eastAsia="Sora" w:hAnsi="Sora" w:cs="Sora"/>
          <w:sz w:val="20"/>
          <w:szCs w:val="20"/>
        </w:rPr>
        <w:t xml:space="preserve">imply open </w:t>
      </w:r>
      <w:hyperlink r:id="rId7" w:history="1">
        <w:r w:rsidRPr="00171760">
          <w:rPr>
            <w:rStyle w:val="Hyperlink"/>
            <w:rFonts w:ascii="Sora" w:eastAsia="Sora" w:hAnsi="Sora" w:cs="Sora"/>
            <w:color w:val="3094ED"/>
            <w:sz w:val="20"/>
            <w:szCs w:val="20"/>
          </w:rPr>
          <w:t>this article</w:t>
        </w:r>
      </w:hyperlink>
      <w:r w:rsidR="00000000">
        <w:rPr>
          <w:rFonts w:ascii="Sora" w:eastAsia="Sora" w:hAnsi="Sora" w:cs="Sora"/>
          <w:sz w:val="20"/>
          <w:szCs w:val="20"/>
        </w:rPr>
        <w:t xml:space="preserve"> </w:t>
      </w:r>
      <w:r>
        <w:rPr>
          <w:rFonts w:ascii="Sora" w:eastAsia="Sora" w:hAnsi="Sora" w:cs="Sora"/>
          <w:sz w:val="20"/>
          <w:szCs w:val="20"/>
        </w:rPr>
        <w:t xml:space="preserve">containing a series of self-guided videos followed by activities </w:t>
      </w:r>
      <w:r>
        <w:rPr>
          <w:rFonts w:ascii="Sora" w:eastAsia="Sora" w:hAnsi="Sora" w:cs="Sora"/>
          <w:sz w:val="20"/>
          <w:szCs w:val="20"/>
        </w:rPr>
        <w:t>that will solidify your practical knowledge on how to use the platform.</w:t>
      </w:r>
    </w:p>
    <w:p w14:paraId="13614B65" w14:textId="77777777" w:rsidR="00171760" w:rsidRDefault="00171760">
      <w:pPr>
        <w:spacing w:line="240" w:lineRule="auto"/>
        <w:rPr>
          <w:rFonts w:ascii="Sora" w:eastAsia="Sora" w:hAnsi="Sora" w:cs="Sora"/>
          <w:sz w:val="20"/>
          <w:szCs w:val="20"/>
        </w:rPr>
      </w:pPr>
    </w:p>
    <w:p w14:paraId="6AA08AE9" w14:textId="108FE7D7" w:rsidR="00411660" w:rsidRDefault="00171760">
      <w:pPr>
        <w:spacing w:line="240" w:lineRule="auto"/>
        <w:rPr>
          <w:rFonts w:ascii="Sora" w:eastAsia="Sora" w:hAnsi="Sora" w:cs="Sora"/>
          <w:sz w:val="20"/>
          <w:szCs w:val="20"/>
        </w:rPr>
      </w:pPr>
      <w:r>
        <w:rPr>
          <w:rFonts w:ascii="Sora" w:eastAsia="Sora" w:hAnsi="Sora" w:cs="Sora"/>
          <w:sz w:val="20"/>
          <w:szCs w:val="20"/>
        </w:rPr>
        <w:t xml:space="preserve">Alternatively, you can also use this offline </w:t>
      </w:r>
      <w:r>
        <w:rPr>
          <w:rFonts w:ascii="Sora" w:eastAsia="Sora" w:hAnsi="Sora" w:cs="Sora"/>
          <w:sz w:val="20"/>
          <w:szCs w:val="20"/>
        </w:rPr>
        <w:t xml:space="preserve"> </w:t>
      </w:r>
      <w:hyperlink r:id="rId8">
        <w:r w:rsidRPr="00171760">
          <w:rPr>
            <w:rFonts w:ascii="Sora" w:eastAsia="Sora" w:hAnsi="Sora" w:cs="Sora"/>
            <w:color w:val="3094ED"/>
            <w:sz w:val="20"/>
            <w:szCs w:val="20"/>
            <w:u w:val="single"/>
          </w:rPr>
          <w:t>W</w:t>
        </w:r>
        <w:r w:rsidRPr="00171760">
          <w:rPr>
            <w:rFonts w:ascii="Sora" w:eastAsia="Sora" w:hAnsi="Sora" w:cs="Sora"/>
            <w:color w:val="3094ED"/>
            <w:sz w:val="20"/>
            <w:szCs w:val="20"/>
            <w:u w:val="single"/>
          </w:rPr>
          <w:t>o</w:t>
        </w:r>
        <w:r w:rsidRPr="00171760">
          <w:rPr>
            <w:rFonts w:ascii="Sora" w:eastAsia="Sora" w:hAnsi="Sora" w:cs="Sora"/>
            <w:color w:val="3094ED"/>
            <w:sz w:val="20"/>
            <w:szCs w:val="20"/>
            <w:u w:val="single"/>
          </w:rPr>
          <w:t>rksheet</w:t>
        </w:r>
      </w:hyperlink>
      <w:r w:rsidRPr="00171760">
        <w:rPr>
          <w:rFonts w:ascii="Sora" w:eastAsia="Sora" w:hAnsi="Sora" w:cs="Sora"/>
          <w:color w:val="3094ED"/>
          <w:sz w:val="20"/>
          <w:szCs w:val="20"/>
          <w:u w:val="single"/>
        </w:rPr>
        <w:t xml:space="preserve">. </w:t>
      </w:r>
      <w:r>
        <w:rPr>
          <w:rFonts w:ascii="Sora" w:eastAsia="Sora" w:hAnsi="Sora" w:cs="Sora"/>
          <w:sz w:val="20"/>
          <w:szCs w:val="20"/>
        </w:rPr>
        <w:t>In it you’ll find links to</w:t>
      </w:r>
      <w:r>
        <w:rPr>
          <w:rFonts w:ascii="Sora" w:eastAsia="Sora" w:hAnsi="Sora" w:cs="Sora"/>
          <w:sz w:val="20"/>
          <w:szCs w:val="20"/>
        </w:rPr>
        <w:t xml:space="preserve"> the same</w:t>
      </w:r>
      <w:r>
        <w:rPr>
          <w:rFonts w:ascii="Sora" w:eastAsia="Sora" w:hAnsi="Sora" w:cs="Sora"/>
          <w:sz w:val="20"/>
          <w:szCs w:val="20"/>
        </w:rPr>
        <w:t xml:space="preserve"> self-guided videos followed by</w:t>
      </w:r>
      <w:r>
        <w:rPr>
          <w:rFonts w:ascii="Sora" w:eastAsia="Sora" w:hAnsi="Sora" w:cs="Sora"/>
          <w:sz w:val="20"/>
          <w:szCs w:val="20"/>
        </w:rPr>
        <w:t xml:space="preserve"> the</w:t>
      </w:r>
      <w:r>
        <w:rPr>
          <w:rFonts w:ascii="Sora" w:eastAsia="Sora" w:hAnsi="Sora" w:cs="Sora"/>
          <w:sz w:val="20"/>
          <w:szCs w:val="20"/>
        </w:rPr>
        <w:t xml:space="preserve"> activities</w:t>
      </w:r>
      <w:r>
        <w:rPr>
          <w:rFonts w:ascii="Sora" w:eastAsia="Sora" w:hAnsi="Sora" w:cs="Sora"/>
          <w:sz w:val="20"/>
          <w:szCs w:val="20"/>
        </w:rPr>
        <w:t>.</w:t>
      </w:r>
    </w:p>
    <w:p w14:paraId="2BFDEA89" w14:textId="77777777" w:rsidR="00411660" w:rsidRDefault="00411660">
      <w:pPr>
        <w:spacing w:line="240" w:lineRule="auto"/>
        <w:rPr>
          <w:rFonts w:ascii="Sora" w:eastAsia="Sora" w:hAnsi="Sora" w:cs="Sora"/>
          <w:sz w:val="20"/>
          <w:szCs w:val="20"/>
        </w:rPr>
      </w:pPr>
    </w:p>
    <w:p w14:paraId="471B44BD" w14:textId="77777777" w:rsidR="00411660" w:rsidRDefault="00000000">
      <w:pPr>
        <w:spacing w:line="240" w:lineRule="auto"/>
        <w:rPr>
          <w:rFonts w:ascii="Sora" w:eastAsia="Sora" w:hAnsi="Sora" w:cs="Sora"/>
          <w:sz w:val="20"/>
          <w:szCs w:val="20"/>
        </w:rPr>
      </w:pPr>
      <w:r>
        <w:rPr>
          <w:rFonts w:ascii="Sora" w:eastAsia="Sora" w:hAnsi="Sora" w:cs="Sora"/>
          <w:sz w:val="20"/>
          <w:szCs w:val="20"/>
        </w:rPr>
        <w:t xml:space="preserve">*Update* Please </w:t>
      </w:r>
      <w:proofErr w:type="gramStart"/>
      <w:r>
        <w:rPr>
          <w:rFonts w:ascii="Sora" w:eastAsia="Sora" w:hAnsi="Sora" w:cs="Sora"/>
          <w:sz w:val="20"/>
          <w:szCs w:val="20"/>
        </w:rPr>
        <w:t>note :</w:t>
      </w:r>
      <w:proofErr w:type="gramEnd"/>
      <w:r>
        <w:rPr>
          <w:rFonts w:ascii="Sora" w:eastAsia="Sora" w:hAnsi="Sora" w:cs="Sora"/>
          <w:sz w:val="20"/>
          <w:szCs w:val="20"/>
        </w:rPr>
        <w:t xml:space="preserve"> [ ] videos are not applicable based on our permissions.</w:t>
      </w:r>
    </w:p>
    <w:p w14:paraId="7C28DE9F" w14:textId="77777777" w:rsidR="00411660" w:rsidRDefault="00411660">
      <w:pPr>
        <w:spacing w:line="240" w:lineRule="auto"/>
        <w:rPr>
          <w:rFonts w:ascii="Sora" w:eastAsia="Sora" w:hAnsi="Sora" w:cs="Sora"/>
          <w:sz w:val="20"/>
          <w:szCs w:val="20"/>
        </w:rPr>
      </w:pPr>
    </w:p>
    <w:p w14:paraId="46F18368" w14:textId="77777777" w:rsidR="00411660" w:rsidRDefault="00000000">
      <w:pPr>
        <w:spacing w:line="240" w:lineRule="auto"/>
        <w:rPr>
          <w:rFonts w:ascii="Sora" w:eastAsia="Sora" w:hAnsi="Sora" w:cs="Sora"/>
          <w:sz w:val="20"/>
          <w:szCs w:val="20"/>
        </w:rPr>
      </w:pPr>
      <w:r>
        <w:rPr>
          <w:rFonts w:ascii="Sora" w:eastAsia="Sora" w:hAnsi="Sora" w:cs="Sora"/>
          <w:sz w:val="20"/>
          <w:szCs w:val="20"/>
        </w:rPr>
        <w:t xml:space="preserve">The HR team is looking forward to connecting with you about the results and action planning. </w:t>
      </w:r>
    </w:p>
    <w:p w14:paraId="3A4AFA2F" w14:textId="77777777" w:rsidR="00411660" w:rsidRDefault="00411660">
      <w:pPr>
        <w:rPr>
          <w:rFonts w:ascii="Sora" w:eastAsia="Sora" w:hAnsi="Sora" w:cs="Sora"/>
          <w:sz w:val="20"/>
          <w:szCs w:val="20"/>
          <w:highlight w:val="white"/>
        </w:rPr>
      </w:pPr>
    </w:p>
    <w:p w14:paraId="696CA8E6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>If you have any questions, please do not hesitate to reach out.</w:t>
      </w:r>
    </w:p>
    <w:p w14:paraId="089878DE" w14:textId="77777777" w:rsidR="00411660" w:rsidRDefault="00411660">
      <w:pPr>
        <w:rPr>
          <w:rFonts w:ascii="Sora" w:eastAsia="Sora" w:hAnsi="Sora" w:cs="Sora"/>
          <w:sz w:val="20"/>
          <w:szCs w:val="20"/>
          <w:highlight w:val="white"/>
        </w:rPr>
      </w:pPr>
    </w:p>
    <w:p w14:paraId="5C61930C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>Best,</w:t>
      </w:r>
    </w:p>
    <w:p w14:paraId="26530841" w14:textId="77777777" w:rsidR="00411660" w:rsidRDefault="00000000">
      <w:pPr>
        <w:rPr>
          <w:rFonts w:ascii="Sora" w:eastAsia="Sora" w:hAnsi="Sora" w:cs="Sora"/>
          <w:sz w:val="20"/>
          <w:szCs w:val="20"/>
          <w:highlight w:val="white"/>
        </w:rPr>
      </w:pPr>
      <w:r>
        <w:rPr>
          <w:rFonts w:ascii="Sora" w:eastAsia="Sora" w:hAnsi="Sora" w:cs="Sora"/>
          <w:sz w:val="20"/>
          <w:szCs w:val="20"/>
          <w:highlight w:val="white"/>
        </w:rPr>
        <w:t>(Team)</w:t>
      </w:r>
    </w:p>
    <w:sectPr w:rsidR="00411660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963C" w14:textId="77777777" w:rsidR="00536072" w:rsidRDefault="00536072">
      <w:pPr>
        <w:spacing w:line="240" w:lineRule="auto"/>
      </w:pPr>
      <w:r>
        <w:separator/>
      </w:r>
    </w:p>
  </w:endnote>
  <w:endnote w:type="continuationSeparator" w:id="0">
    <w:p w14:paraId="55DA7D48" w14:textId="77777777" w:rsidR="00536072" w:rsidRDefault="00536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Light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077F" w14:textId="77777777" w:rsidR="00411660" w:rsidRDefault="00411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933A" w14:textId="77777777" w:rsidR="00536072" w:rsidRDefault="00536072">
      <w:pPr>
        <w:spacing w:line="240" w:lineRule="auto"/>
      </w:pPr>
      <w:r>
        <w:separator/>
      </w:r>
    </w:p>
  </w:footnote>
  <w:footnote w:type="continuationSeparator" w:id="0">
    <w:p w14:paraId="443577EE" w14:textId="77777777" w:rsidR="00536072" w:rsidRDefault="00536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2370" w14:textId="77777777" w:rsidR="00411660" w:rsidRDefault="00000000">
    <w:pPr>
      <w:tabs>
        <w:tab w:val="center" w:pos="4680"/>
        <w:tab w:val="right" w:pos="9360"/>
      </w:tabs>
      <w:spacing w:line="240" w:lineRule="auto"/>
    </w:pPr>
    <w:r>
      <w:rPr>
        <w:rFonts w:ascii="Sora Light" w:eastAsia="Sora Light" w:hAnsi="Sora Light" w:cs="Sora Light"/>
        <w:noProof/>
      </w:rPr>
      <w:drawing>
        <wp:inline distT="0" distB="0" distL="0" distR="0" wp14:anchorId="4B0239AC" wp14:editId="2F6B5DDE">
          <wp:extent cx="5943600" cy="4025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BF00" w14:textId="77777777" w:rsidR="00411660" w:rsidRDefault="00000000">
    <w:pPr>
      <w:tabs>
        <w:tab w:val="center" w:pos="4680"/>
        <w:tab w:val="right" w:pos="9360"/>
      </w:tabs>
      <w:spacing w:line="240" w:lineRule="auto"/>
    </w:pPr>
    <w:r>
      <w:rPr>
        <w:rFonts w:ascii="Sora Light" w:eastAsia="Sora Light" w:hAnsi="Sora Light" w:cs="Sora Light"/>
        <w:noProof/>
      </w:rPr>
      <w:drawing>
        <wp:inline distT="0" distB="0" distL="0" distR="0" wp14:anchorId="44FCD415" wp14:editId="3260F994">
          <wp:extent cx="5943600" cy="40259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0"/>
    <w:rsid w:val="00171760"/>
    <w:rsid w:val="00411660"/>
    <w:rsid w:val="005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DCB73"/>
  <w15:docId w15:val="{FC8CB1F4-5F54-464A-A893-96BC95D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717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tango.docsend.com/view/ucb9uyrgspp8crz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orktangohelp.zendesk.com/hc/en-us/articles/27330485669267-Learning-to-Tan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Lindsay Smith</cp:lastModifiedBy>
  <cp:revision>2</cp:revision>
  <dcterms:created xsi:type="dcterms:W3CDTF">2024-03-13T15:45:00Z</dcterms:created>
  <dcterms:modified xsi:type="dcterms:W3CDTF">2024-03-13T15:49:00Z</dcterms:modified>
</cp:coreProperties>
</file>